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626312">
        <w:trPr>
          <w:trHeight w:hRule="exact" w:val="1126"/>
        </w:trPr>
        <w:tc>
          <w:tcPr>
            <w:tcW w:w="4534" w:type="dxa"/>
            <w:gridSpan w:val="4"/>
          </w:tcPr>
          <w:p w:rsidR="00626312" w:rsidRDefault="004038F0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626312" w:rsidRDefault="00626312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626312" w:rsidRDefault="00626312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26312">
        <w:trPr>
          <w:trHeight w:val="3261"/>
        </w:trPr>
        <w:tc>
          <w:tcPr>
            <w:tcW w:w="4534" w:type="dxa"/>
            <w:gridSpan w:val="4"/>
          </w:tcPr>
          <w:p w:rsidR="00626312" w:rsidRDefault="004038F0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626312" w:rsidRDefault="004038F0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626312" w:rsidRDefault="004038F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626312" w:rsidRDefault="004038F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626312" w:rsidRDefault="00626312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626312" w:rsidRDefault="004038F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626312" w:rsidRDefault="004038F0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626312" w:rsidRDefault="004038F0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626312" w:rsidRDefault="00626312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626312" w:rsidRDefault="00626312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626312" w:rsidRDefault="004038F0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626312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626312" w:rsidRDefault="004038F0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13.06.2024 г.</w:t>
            </w:r>
          </w:p>
        </w:tc>
        <w:tc>
          <w:tcPr>
            <w:tcW w:w="417" w:type="dxa"/>
          </w:tcPr>
          <w:p w:rsidR="00626312" w:rsidRDefault="004038F0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626312" w:rsidRDefault="004038F0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166-20-3-2</w:t>
            </w:r>
          </w:p>
        </w:tc>
        <w:tc>
          <w:tcPr>
            <w:tcW w:w="1052" w:type="dxa"/>
            <w:gridSpan w:val="2"/>
            <w:vMerge/>
          </w:tcPr>
          <w:p w:rsidR="00626312" w:rsidRDefault="00626312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626312" w:rsidRDefault="00626312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626312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626312" w:rsidRDefault="004038F0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626312" w:rsidRDefault="004038F0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626312" w:rsidRDefault="00626312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626312" w:rsidRDefault="00626312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626312" w:rsidRDefault="00626312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626312" w:rsidRDefault="00626312">
      <w:pPr>
        <w:jc w:val="both"/>
        <w:rPr>
          <w:color w:val="000000"/>
          <w:sz w:val="28"/>
          <w:szCs w:val="28"/>
        </w:rPr>
      </w:pPr>
    </w:p>
    <w:p w:rsidR="00626312" w:rsidRDefault="00626312">
      <w:pPr>
        <w:jc w:val="both"/>
        <w:rPr>
          <w:color w:val="000000"/>
          <w:sz w:val="28"/>
          <w:szCs w:val="28"/>
        </w:rPr>
      </w:pPr>
    </w:p>
    <w:p w:rsidR="00626312" w:rsidRDefault="004038F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626312" w:rsidRDefault="004038F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14.06.2024 г.</w:t>
      </w:r>
    </w:p>
    <w:p w:rsidR="00626312" w:rsidRDefault="004038F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626312" w:rsidRDefault="004038F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626312" w:rsidRDefault="004038F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626312" w:rsidRDefault="00626312">
      <w:pPr>
        <w:outlineLvl w:val="0"/>
        <w:rPr>
          <w:color w:val="000000"/>
          <w:sz w:val="28"/>
          <w:szCs w:val="28"/>
        </w:rPr>
      </w:pPr>
    </w:p>
    <w:p w:rsidR="00626312" w:rsidRDefault="004038F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626312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26312" w:rsidRDefault="004038F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13-17.06 местами ожидается аномально жаркая погода с максимальными температурами +30 С и выше.</w:t>
            </w:r>
          </w:p>
          <w:p w:rsidR="00626312" w:rsidRDefault="004038F0">
            <w:pPr>
              <w:widowControl w:val="0"/>
              <w:ind w:firstLine="283"/>
              <w:jc w:val="both"/>
            </w:pPr>
            <w:r>
              <w:rPr>
                <w:sz w:val="28"/>
                <w:szCs w:val="28"/>
              </w:rPr>
              <w:t>В связи с увеличением сбросов воды в нижний бьеф Новосибирского водохранилища в период 13 – 17 июня на р. Обь в районе г. Новосибирск (опасная отметка 360 см для дачных участков) высокая водность и подтопление отдельных садовых участков сохранится.</w:t>
            </w:r>
          </w:p>
        </w:tc>
      </w:tr>
    </w:tbl>
    <w:p w:rsidR="00626312" w:rsidRDefault="00626312">
      <w:pPr>
        <w:jc w:val="both"/>
        <w:rPr>
          <w:sz w:val="22"/>
          <w:szCs w:val="22"/>
          <w:highlight w:val="yellow"/>
        </w:rPr>
      </w:pP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26312" w:rsidRDefault="004038F0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626312" w:rsidRDefault="00626312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626312" w:rsidRDefault="004038F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данным Службы МОС в г. Новосибирск превышений ПДК нет.</w:t>
      </w:r>
    </w:p>
    <w:p w:rsidR="00626312" w:rsidRDefault="00626312">
      <w:pPr>
        <w:ind w:firstLine="567"/>
        <w:jc w:val="both"/>
        <w:rPr>
          <w:b/>
          <w:sz w:val="28"/>
          <w:szCs w:val="28"/>
        </w:rPr>
      </w:pP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626312" w:rsidRDefault="004038F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626312" w:rsidRDefault="00626312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626312" w:rsidRDefault="00626312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626312" w:rsidRDefault="004038F0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lastRenderedPageBreak/>
        <w:t>1.4. Гидрологическая обстановка.</w:t>
      </w:r>
    </w:p>
    <w:p w:rsidR="00626312" w:rsidRDefault="004038F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626312" w:rsidRDefault="004038F0">
      <w:pPr>
        <w:ind w:firstLine="567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113,10 м БС (Балтийской системы измерений), сброс составил 4450м³/с, приток 5300 м³/с. Уровень воды в реке Обь находится на отметке 361 см.</w:t>
      </w:r>
    </w:p>
    <w:p w:rsidR="00626312" w:rsidRDefault="00626312">
      <w:pPr>
        <w:ind w:firstLine="567"/>
        <w:jc w:val="both"/>
        <w:rPr>
          <w:highlight w:val="yellow"/>
        </w:rPr>
      </w:pP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7"/>
        <w:gridCol w:w="1128"/>
        <w:gridCol w:w="1554"/>
        <w:gridCol w:w="1566"/>
        <w:gridCol w:w="1977"/>
      </w:tblGrid>
      <w:tr w:rsidR="00626312">
        <w:trPr>
          <w:trHeight w:val="124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bookmarkStart w:id="0" w:name="_Hlk130909852"/>
            <w:bookmarkEnd w:id="0"/>
            <w:r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Пункт</w:t>
            </w:r>
          </w:p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Критические</w:t>
            </w:r>
          </w:p>
          <w:p w:rsidR="00626312" w:rsidRDefault="004038F0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отметки</w:t>
            </w:r>
          </w:p>
          <w:p w:rsidR="00626312" w:rsidRDefault="004038F0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Уровень воды (см) на 08.00 нск 13.06.2024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626312">
        <w:trPr>
          <w:trHeight w:val="21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608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626312">
        <w:trPr>
          <w:trHeight w:val="22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361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62631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ind w:firstLine="39"/>
              <w:jc w:val="center"/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ind w:firstLine="39"/>
              <w:jc w:val="center"/>
            </w:pPr>
            <w:r>
              <w:rPr>
                <w:sz w:val="24"/>
                <w:szCs w:val="24"/>
              </w:rPr>
              <w:t>617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12" w:rsidRDefault="004038F0">
            <w:pPr>
              <w:widowControl w:val="0"/>
              <w:jc w:val="center"/>
            </w:pPr>
            <w:r>
              <w:t>-</w:t>
            </w:r>
          </w:p>
        </w:tc>
      </w:tr>
    </w:tbl>
    <w:p w:rsidR="00626312" w:rsidRDefault="00626312">
      <w:pPr>
        <w:pStyle w:val="aff6"/>
        <w:rPr>
          <w:rFonts w:ascii="Times New Roman" w:eastAsia="Times New Roman" w:hAnsi="Times New Roman" w:cs="Times New Roman"/>
          <w:bCs/>
          <w:color w:val="auto"/>
          <w:highlight w:val="yellow"/>
        </w:rPr>
      </w:pPr>
    </w:p>
    <w:p w:rsidR="00626312" w:rsidRDefault="004038F0">
      <w:pPr>
        <w:pStyle w:val="aff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состоянию на 08:00 13 июня в с. Мереть Сузунского района подтоплены 6 приусадебных участков 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(за сутки без изменений)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подтопленных домов нет. В СНТ «Елочка» Новосибирского района подтоплены 7 дачных участков 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(за сутки без изменений)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СНТ «Геолог» Первомайского района г. Новосибирска подтоплены 4 дачных участка 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(за сутки без изменений).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Ведется мониторинг складывающейся обстановки.</w:t>
      </w:r>
    </w:p>
    <w:p w:rsidR="00626312" w:rsidRDefault="00626312">
      <w:pPr>
        <w:pStyle w:val="aff6"/>
        <w:rPr>
          <w:rFonts w:ascii="Times New Roman" w:eastAsia="Times New Roman" w:hAnsi="Times New Roman" w:cs="Times New Roman"/>
          <w:color w:val="auto"/>
          <w:sz w:val="18"/>
          <w:szCs w:val="18"/>
          <w:highlight w:val="yellow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39"/>
        <w:gridCol w:w="2565"/>
        <w:gridCol w:w="1854"/>
        <w:gridCol w:w="3184"/>
      </w:tblGrid>
      <w:tr w:rsidR="00626312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№ п/п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626312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ind w:firstLine="57"/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ind w:left="-57"/>
              <w:jc w:val="center"/>
            </w:pPr>
            <w:r>
              <w:t>Сузунский район,</w:t>
            </w:r>
          </w:p>
          <w:p w:rsidR="00626312" w:rsidRDefault="004038F0">
            <w:pPr>
              <w:pStyle w:val="af8"/>
              <w:ind w:left="-57"/>
              <w:jc w:val="center"/>
            </w:pPr>
            <w:r>
              <w:t>с. Мереть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ind w:right="-235" w:hanging="240"/>
              <w:jc w:val="center"/>
            </w:pPr>
            <w:r>
              <w:t>приусадебных участков - 6</w:t>
            </w:r>
          </w:p>
          <w:p w:rsidR="00626312" w:rsidRDefault="004038F0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Подъем воды в</w:t>
            </w:r>
          </w:p>
          <w:p w:rsidR="00626312" w:rsidRDefault="004038F0">
            <w:pPr>
              <w:pStyle w:val="af8"/>
              <w:jc w:val="center"/>
            </w:pPr>
            <w:r>
              <w:t>р. Кукуй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  <w:tr w:rsidR="00626312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ind w:firstLine="57"/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626312" w:rsidRDefault="004038F0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дачных участков - 7</w:t>
            </w:r>
          </w:p>
          <w:p w:rsidR="00626312" w:rsidRDefault="004038F0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626312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ind w:firstLine="57"/>
            </w:pPr>
            <w:r>
              <w:t>3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626312" w:rsidRDefault="004038F0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дачных участков - 4</w:t>
            </w:r>
          </w:p>
          <w:p w:rsidR="00626312" w:rsidRDefault="004038F0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  <w:jc w:val="center"/>
            </w:pPr>
            <w:r>
              <w:t>Подъем уровня воды в р. Обь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626312" w:rsidRDefault="00626312">
      <w:pPr>
        <w:ind w:firstLine="567"/>
        <w:jc w:val="both"/>
        <w:rPr>
          <w:b/>
          <w:bCs/>
          <w:color w:val="000000"/>
          <w:highlight w:val="yellow"/>
        </w:rPr>
      </w:pPr>
    </w:p>
    <w:p w:rsidR="00626312" w:rsidRDefault="004038F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Лесопожарная обстановка.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Новосибирской области установилась пожароопасность 1-го и 2-го классов.</w:t>
      </w:r>
    </w:p>
    <w:p w:rsidR="00626312" w:rsidRDefault="004038F0">
      <w:pPr>
        <w:tabs>
          <w:tab w:val="left" w:pos="0"/>
        </w:tabs>
      </w:pPr>
      <w:r>
        <w:rPr>
          <w:rStyle w:val="10"/>
          <w:rFonts w:eastAsia="SimSun"/>
          <w:bCs/>
          <w:iCs/>
          <w:sz w:val="26"/>
          <w:szCs w:val="26"/>
        </w:rPr>
        <w:t>По данным космического мониторинга за сутки на территории области зарегистрирована 1 термическая точка (АППГ — 19) в 5-ти километровой зоне ( АППГ- 14). Ликвидирована.  Всего с начала года зарегистрировано - 665 термических точек (АППГ - 7655), из них в 5-ти километровой зоне - 543 (АППГ — 4788).</w:t>
      </w:r>
    </w:p>
    <w:tbl>
      <w:tblPr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743"/>
        <w:gridCol w:w="1809"/>
        <w:gridCol w:w="905"/>
        <w:gridCol w:w="1115"/>
        <w:gridCol w:w="1078"/>
        <w:gridCol w:w="1027"/>
        <w:gridCol w:w="822"/>
        <w:gridCol w:w="850"/>
        <w:gridCol w:w="886"/>
        <w:gridCol w:w="1073"/>
      </w:tblGrid>
      <w:tr w:rsidR="00626312">
        <w:trPr>
          <w:trHeight w:val="389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626312">
        <w:trPr>
          <w:trHeight w:val="37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626312" w:rsidRDefault="004038F0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</w:tr>
      <w:tr w:rsidR="00626312">
        <w:trPr>
          <w:trHeight w:val="43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626312" w:rsidRDefault="004038F0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626312" w:rsidRDefault="004038F0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</w:pPr>
          </w:p>
        </w:tc>
      </w:tr>
      <w:tr w:rsidR="00626312">
        <w:trPr>
          <w:trHeight w:val="22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Cs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Cs/>
              </w:rPr>
              <w:t>Новосибирский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626312">
        <w:trPr>
          <w:trHeight w:val="21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626312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665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543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0</w:t>
            </w:r>
          </w:p>
        </w:tc>
      </w:tr>
    </w:tbl>
    <w:p w:rsidR="00626312" w:rsidRDefault="00626312">
      <w:pPr>
        <w:tabs>
          <w:tab w:val="left" w:pos="0"/>
        </w:tabs>
        <w:ind w:firstLine="567"/>
        <w:jc w:val="both"/>
        <w:rPr>
          <w:bCs/>
          <w:iCs/>
          <w:sz w:val="18"/>
          <w:szCs w:val="18"/>
          <w:highlight w:val="yellow"/>
        </w:rPr>
      </w:pPr>
    </w:p>
    <w:p w:rsidR="00626312" w:rsidRDefault="004038F0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 сутки лесные пожары не зарегистрированы. Действующих нет.</w:t>
      </w:r>
    </w:p>
    <w:p w:rsidR="00626312" w:rsidRDefault="004038F0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3 (Сузунский, Ордынский, Черепановский районы).</w:t>
      </w:r>
    </w:p>
    <w:p w:rsidR="00626312" w:rsidRDefault="00626312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626312" w:rsidRDefault="004038F0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626312" w:rsidRDefault="004038F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626312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Default="004038F0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626312" w:rsidRDefault="004038F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Стабильная.</w:t>
      </w:r>
    </w:p>
    <w:p w:rsidR="00626312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Default="004038F0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626312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Default="004038F0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626312" w:rsidRDefault="004038F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626312" w:rsidRDefault="00626312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11 пожаров (в жилом секторе 4), в результате которых погибших и травмированных нет.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626312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Default="004038F0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626312" w:rsidRDefault="004038F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626312" w:rsidRDefault="0062631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626312" w:rsidRDefault="00626312">
      <w:pPr>
        <w:jc w:val="both"/>
        <w:rPr>
          <w:b/>
          <w:color w:val="000000"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626312" w:rsidRDefault="00626312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1.14. Обстановка на дорогах.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bookmarkStart w:id="1" w:name="_Hlk133589652"/>
      <w:r>
        <w:rPr>
          <w:bCs/>
          <w:sz w:val="28"/>
          <w:szCs w:val="28"/>
        </w:rPr>
        <w:t>По состоянию на 08:00 13 июня на контроле остается 1 перелив через автомобильную дорогу местного значения в Кыштовском районе</w:t>
      </w:r>
      <w:r>
        <w:rPr>
          <w:bCs/>
          <w:i/>
          <w:iCs/>
          <w:sz w:val="28"/>
          <w:szCs w:val="28"/>
        </w:rPr>
        <w:t>.</w:t>
      </w:r>
      <w:r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Ведутся работы по восстановлению.</w:t>
      </w:r>
    </w:p>
    <w:p w:rsidR="00626312" w:rsidRDefault="004038F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 июня, в связи с обильными осадками и бездорожьем, временно прекращено автобусное сообщение с 7 населенными пунктами по 7 маршрутам в Купинском и Татарском районах. Отрезанных населенных пунктов нет, сообщение осуществляется автомобилями повышенной проходимости.</w:t>
      </w:r>
    </w:p>
    <w:p w:rsidR="00626312" w:rsidRDefault="0062631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Default="0062631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Прогноз чрезвычайных ситуаций и происшествий.</w:t>
      </w: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626312" w:rsidRDefault="004038F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Переменная облачность, преимущественно без осадков, днем по югу местами небольшие дожди, грозы. Ночью и утром местами туманы.</w:t>
      </w:r>
    </w:p>
    <w:p w:rsidR="00626312" w:rsidRDefault="004038F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северо-восточный 2-7 м/с, местами порывы до 12 м/с.</w:t>
      </w:r>
    </w:p>
    <w:p w:rsidR="00626312" w:rsidRDefault="004038F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+14, +19°С, днём +27, +32°С.</w:t>
      </w:r>
    </w:p>
    <w:p w:rsidR="00626312" w:rsidRDefault="00626312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626312" w:rsidRDefault="004038F0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626312" w:rsidRDefault="0062631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4038F0" w:rsidRPr="004038F0" w:rsidRDefault="004038F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38F0">
        <w:rPr>
          <w:sz w:val="28"/>
          <w:szCs w:val="28"/>
        </w:rPr>
        <w:t>В связи с увеличением сбросов воды в нижний бьеф Новосибирского водохранилища на р. Обь в районе г. Новосибирск высокая водность и подтопление отдельных садовых участков сохранится.</w:t>
      </w:r>
    </w:p>
    <w:p w:rsidR="00626312" w:rsidRDefault="004038F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38F0">
        <w:rPr>
          <w:sz w:val="28"/>
          <w:szCs w:val="28"/>
        </w:rPr>
        <w:t xml:space="preserve">Сбросы в нижний бьеф с Новосибирского водохранилища </w:t>
      </w:r>
      <w:r>
        <w:rPr>
          <w:sz w:val="28"/>
          <w:szCs w:val="28"/>
        </w:rPr>
        <w:t>планируются</w:t>
      </w:r>
      <w:r>
        <w:rPr>
          <w:sz w:val="28"/>
          <w:szCs w:val="28"/>
        </w:rPr>
        <w:br/>
        <w:t>4400 ± 150м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уровень воды в р. Обь ожидается в пределах 365 ±10см.</w:t>
      </w:r>
    </w:p>
    <w:p w:rsidR="00626312" w:rsidRDefault="00626312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626312" w:rsidRDefault="004038F0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626312" w:rsidRDefault="004038F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нормы.</w:t>
      </w:r>
    </w:p>
    <w:p w:rsidR="00626312" w:rsidRDefault="00626312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26312" w:rsidRDefault="004038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Прогноз лесопожарной обстановки.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Новосибирской области прогнозируется пожароопасность преимущественно 2-го, местами 1-го и 3-го классов.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аномально жаркой погодой на территории НСО возрастает риск возникновение лесных и ландшафтных пожаров с риском перехода на населенные пункты.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626312" w:rsidRDefault="00626312">
      <w:pPr>
        <w:ind w:firstLine="567"/>
        <w:jc w:val="both"/>
        <w:rPr>
          <w:sz w:val="28"/>
          <w:szCs w:val="28"/>
          <w:highlight w:val="yellow"/>
        </w:rPr>
      </w:pPr>
    </w:p>
    <w:p w:rsidR="00626312" w:rsidRDefault="004038F0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626312" w:rsidRDefault="004038F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626312" w:rsidRDefault="00626312">
      <w:pPr>
        <w:ind w:firstLine="567"/>
        <w:rPr>
          <w:sz w:val="28"/>
          <w:szCs w:val="28"/>
          <w:highlight w:val="yellow"/>
        </w:rPr>
      </w:pPr>
    </w:p>
    <w:p w:rsidR="00626312" w:rsidRDefault="004038F0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626312" w:rsidRDefault="004038F0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626312" w:rsidRDefault="004038F0">
      <w:pPr>
        <w:ind w:firstLine="567"/>
        <w:jc w:val="both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626312" w:rsidRDefault="004038F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>Роспотребнадзора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</w:t>
      </w:r>
      <w:r>
        <w:rPr>
          <w:sz w:val="28"/>
          <w:szCs w:val="28"/>
          <w:lang w:eastAsia="ar-SA"/>
        </w:rPr>
        <w:lastRenderedPageBreak/>
        <w:t>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626312" w:rsidRDefault="00626312">
      <w:pPr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626312" w:rsidRDefault="004038F0">
      <w:pPr>
        <w:ind w:firstLine="567"/>
        <w:jc w:val="both"/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626312" w:rsidRDefault="00626312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626312" w:rsidRDefault="004038F0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626312" w:rsidRDefault="004038F0">
      <w:pPr>
        <w:ind w:firstLine="567"/>
        <w:jc w:val="both"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626312" w:rsidRDefault="00626312">
      <w:pPr>
        <w:jc w:val="both"/>
        <w:rPr>
          <w:b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аномально жаркой погодой возрастает риск возникновения аварий в системе электроснабжения.</w:t>
      </w:r>
    </w:p>
    <w:p w:rsidR="00626312" w:rsidRDefault="00626312">
      <w:pPr>
        <w:ind w:firstLine="567"/>
        <w:jc w:val="both"/>
        <w:rPr>
          <w:highlight w:val="yellow"/>
        </w:rPr>
      </w:pPr>
    </w:p>
    <w:p w:rsidR="00626312" w:rsidRDefault="004038F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626312" w:rsidRDefault="004038F0">
      <w:pPr>
        <w:ind w:firstLine="567"/>
        <w:jc w:val="both"/>
        <w:rPr>
          <w:sz w:val="28"/>
          <w:szCs w:val="28"/>
        </w:rPr>
      </w:pPr>
      <w:bookmarkStart w:id="11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626312" w:rsidRDefault="00626312">
      <w:pPr>
        <w:ind w:firstLine="567"/>
        <w:jc w:val="both"/>
        <w:rPr>
          <w:highlight w:val="yellow"/>
        </w:rPr>
      </w:pPr>
    </w:p>
    <w:p w:rsidR="00626312" w:rsidRDefault="004038F0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0"/>
      <w:r>
        <w:rPr>
          <w:b/>
          <w:sz w:val="28"/>
          <w:szCs w:val="28"/>
        </w:rPr>
        <w:t>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Аномально жаркая погода будет способствовать увеличению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626312" w:rsidRDefault="00626312">
      <w:pPr>
        <w:jc w:val="both"/>
        <w:rPr>
          <w:b/>
          <w:sz w:val="28"/>
          <w:szCs w:val="28"/>
          <w:highlight w:val="yellow"/>
        </w:rPr>
      </w:pPr>
    </w:p>
    <w:p w:rsidR="00626312" w:rsidRDefault="00626312">
      <w:pPr>
        <w:jc w:val="both"/>
        <w:rPr>
          <w:b/>
          <w:sz w:val="28"/>
          <w:szCs w:val="28"/>
          <w:highlight w:val="yellow"/>
        </w:rPr>
      </w:pPr>
    </w:p>
    <w:p w:rsidR="00626312" w:rsidRDefault="00626312">
      <w:pPr>
        <w:jc w:val="both"/>
        <w:rPr>
          <w:b/>
          <w:sz w:val="28"/>
          <w:szCs w:val="28"/>
          <w:highlight w:val="yellow"/>
        </w:rPr>
      </w:pPr>
    </w:p>
    <w:p w:rsidR="00626312" w:rsidRDefault="004038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2.13. Прогноз обстановки на дорогах.</w:t>
      </w:r>
    </w:p>
    <w:p w:rsidR="00626312" w:rsidRDefault="004038F0">
      <w:pPr>
        <w:suppressAutoHyphens w:val="0"/>
        <w:ind w:firstLine="567"/>
        <w:jc w:val="both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lang w:eastAsia="ru-RU"/>
        </w:rPr>
        <w:t>На дорогах города и области возможны затруднения работы транспорта связанные с аномально жаркой погодой.</w:t>
      </w:r>
    </w:p>
    <w:p w:rsidR="00626312" w:rsidRDefault="00403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Туманы в утренние и ночные часы,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626312" w:rsidRDefault="004038F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выпавшими осадками 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626312" w:rsidRDefault="00626312">
      <w:pPr>
        <w:jc w:val="both"/>
        <w:rPr>
          <w:b/>
          <w:bCs/>
          <w:color w:val="000000"/>
          <w:sz w:val="28"/>
          <w:szCs w:val="28"/>
        </w:rPr>
      </w:pPr>
    </w:p>
    <w:p w:rsidR="00626312" w:rsidRDefault="004038F0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626312" w:rsidRDefault="004038F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626312" w:rsidRDefault="004038F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626312" w:rsidRDefault="004038F0">
      <w:pPr>
        <w:spacing w:line="310" w:lineRule="exact"/>
        <w:ind w:firstLine="567"/>
        <w:jc w:val="both"/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 на объектах ЖКХ;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626312" w:rsidRDefault="004038F0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626312" w:rsidRDefault="004038F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626312" w:rsidRDefault="004038F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626312" w:rsidRDefault="004038F0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</w:t>
      </w:r>
      <w:r>
        <w:rPr>
          <w:color w:val="000000"/>
          <w:sz w:val="28"/>
          <w:szCs w:val="28"/>
          <w:highlight w:val="white"/>
        </w:rPr>
        <w:lastRenderedPageBreak/>
        <w:t>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626312" w:rsidRDefault="004038F0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17. При возникновении ЧС немедленно информировать оперативного дежурного </w:t>
      </w:r>
      <w:r w:rsidR="00212263">
        <w:rPr>
          <w:color w:val="000000"/>
          <w:sz w:val="28"/>
          <w:szCs w:val="28"/>
        </w:rPr>
        <w:t xml:space="preserve">ЕДДС Татарского района </w:t>
      </w:r>
      <w:r>
        <w:rPr>
          <w:color w:val="000000"/>
          <w:sz w:val="28"/>
          <w:szCs w:val="28"/>
        </w:rPr>
        <w:t>по телефону 8-(383</w:t>
      </w:r>
      <w:r w:rsidR="00212263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21226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21226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212263">
        <w:rPr>
          <w:color w:val="000000"/>
          <w:sz w:val="28"/>
          <w:szCs w:val="28"/>
        </w:rPr>
        <w:t>79</w:t>
      </w:r>
      <w:bookmarkStart w:id="14" w:name="_GoBack"/>
      <w:bookmarkEnd w:id="14"/>
      <w:r>
        <w:rPr>
          <w:color w:val="000000"/>
          <w:sz w:val="28"/>
          <w:szCs w:val="28"/>
        </w:rPr>
        <w:t>.</w:t>
      </w:r>
    </w:p>
    <w:p w:rsidR="00626312" w:rsidRDefault="00626312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626312" w:rsidRDefault="00626312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sectPr w:rsidR="00626312">
      <w:headerReference w:type="default" r:id="rId9"/>
      <w:pgSz w:w="11906" w:h="16838"/>
      <w:pgMar w:top="1134" w:right="567" w:bottom="709" w:left="1276" w:header="284" w:footer="0" w:gutter="0"/>
      <w:cols w:space="720"/>
      <w:formProt w:val="0"/>
      <w:titlePg/>
      <w:docGrid w:linePitch="360" w:charSpace="122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A1" w:rsidRDefault="003007A1">
      <w:r>
        <w:separator/>
      </w:r>
    </w:p>
  </w:endnote>
  <w:endnote w:type="continuationSeparator" w:id="0">
    <w:p w:rsidR="003007A1" w:rsidRDefault="0030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A1" w:rsidRDefault="003007A1">
      <w:r>
        <w:separator/>
      </w:r>
    </w:p>
  </w:footnote>
  <w:footnote w:type="continuationSeparator" w:id="0">
    <w:p w:rsidR="003007A1" w:rsidRDefault="0030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12" w:rsidRDefault="004038F0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212263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283"/>
    <w:multiLevelType w:val="multilevel"/>
    <w:tmpl w:val="ACDCE4F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CA276E"/>
    <w:multiLevelType w:val="multilevel"/>
    <w:tmpl w:val="BA6675BE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4441234F"/>
    <w:multiLevelType w:val="multilevel"/>
    <w:tmpl w:val="736A19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85B1B20"/>
    <w:multiLevelType w:val="multilevel"/>
    <w:tmpl w:val="8D6268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12"/>
    <w:rsid w:val="00212263"/>
    <w:rsid w:val="003007A1"/>
    <w:rsid w:val="004038F0"/>
    <w:rsid w:val="004D5007"/>
    <w:rsid w:val="006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D88F"/>
  <w15:docId w15:val="{AAE2D415-0F11-4C66-80A0-59BEB98C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67F7-D358-4D6E-A9B1-B25BA19B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13419</TotalTime>
  <Pages>11</Pages>
  <Words>4050</Words>
  <Characters>23089</Characters>
  <Application>Microsoft Office Word</Application>
  <DocSecurity>0</DocSecurity>
  <Lines>192</Lines>
  <Paragraphs>54</Paragraphs>
  <ScaleCrop>false</ScaleCrop>
  <Company>Microsoft</Company>
  <LinksUpToDate>false</LinksUpToDate>
  <CharactersWithSpaces>27085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398</cp:revision>
  <dcterms:created xsi:type="dcterms:W3CDTF">2024-03-11T08:54:00Z</dcterms:created>
  <dcterms:modified xsi:type="dcterms:W3CDTF">2024-06-13T09:37:00Z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