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24" w:rsidRPr="00402AE8" w:rsidRDefault="00A431C2" w:rsidP="00AC2A24">
      <w:pPr>
        <w:spacing w:after="0" w:line="240" w:lineRule="auto"/>
        <w:jc w:val="center"/>
        <w:rPr>
          <w:rFonts w:ascii="PT Astra Serif" w:hAnsi="PT Astra Serif" w:cs="Arial"/>
          <w:b/>
          <w:sz w:val="24"/>
          <w:szCs w:val="24"/>
        </w:rPr>
      </w:pPr>
      <w:r w:rsidRPr="00377638">
        <w:rPr>
          <w:rFonts w:ascii="Times New Roman" w:hAnsi="Times New Roman" w:cs="Times New Roman"/>
          <w:b/>
          <w:sz w:val="28"/>
          <w:szCs w:val="28"/>
        </w:rPr>
        <w:br/>
      </w:r>
      <w:r w:rsidR="00AC2A24" w:rsidRPr="00402AE8">
        <w:rPr>
          <w:rFonts w:ascii="PT Astra Serif" w:hAnsi="PT Astra Serif" w:cs="Arial"/>
          <w:b/>
          <w:sz w:val="24"/>
          <w:szCs w:val="24"/>
        </w:rPr>
        <w:t xml:space="preserve">НОВОСИБИРСКАЯ ОБЛАСТЬ ТАТАРСКИЙ РАЙОН </w:t>
      </w:r>
    </w:p>
    <w:p w:rsidR="00AC2A24" w:rsidRPr="00402AE8" w:rsidRDefault="00AC2A24" w:rsidP="00AC2A24">
      <w:pPr>
        <w:jc w:val="center"/>
        <w:rPr>
          <w:rFonts w:ascii="PT Astra Serif" w:hAnsi="PT Astra Serif" w:cs="Arial"/>
          <w:b/>
          <w:sz w:val="24"/>
          <w:szCs w:val="24"/>
        </w:rPr>
      </w:pPr>
      <w:r w:rsidRPr="00402AE8">
        <w:rPr>
          <w:rFonts w:ascii="PT Astra Serif" w:hAnsi="PT Astra Serif" w:cs="Arial"/>
          <w:b/>
          <w:sz w:val="24"/>
          <w:szCs w:val="24"/>
        </w:rPr>
        <w:t>АДМИНИСТРАЦИЯ НОВОМИХАЙЛОВСКОГО СЕЛЬСОВЕТА</w:t>
      </w:r>
    </w:p>
    <w:p w:rsidR="00AC2A24" w:rsidRPr="00402AE8" w:rsidRDefault="00AC2A24" w:rsidP="00AC2A24">
      <w:pPr>
        <w:jc w:val="center"/>
        <w:rPr>
          <w:rFonts w:ascii="PT Astra Serif" w:hAnsi="PT Astra Serif" w:cs="Arial"/>
          <w:b/>
          <w:sz w:val="24"/>
          <w:szCs w:val="24"/>
        </w:rPr>
      </w:pPr>
      <w:r w:rsidRPr="00402AE8">
        <w:rPr>
          <w:rFonts w:ascii="PT Astra Serif" w:hAnsi="PT Astra Serif" w:cs="Arial"/>
          <w:b/>
          <w:sz w:val="24"/>
          <w:szCs w:val="24"/>
        </w:rPr>
        <w:t>____________________________________________________________</w:t>
      </w:r>
    </w:p>
    <w:p w:rsidR="005D5EF3" w:rsidRPr="00402AE8" w:rsidRDefault="005D5EF3" w:rsidP="005D5EF3">
      <w:pPr>
        <w:spacing w:after="0"/>
        <w:jc w:val="center"/>
        <w:rPr>
          <w:rFonts w:ascii="PT Astra Serif" w:hAnsi="PT Astra Serif" w:cs="Times New Roman"/>
          <w:sz w:val="28"/>
          <w:szCs w:val="28"/>
        </w:rPr>
      </w:pPr>
    </w:p>
    <w:p w:rsidR="005D5EF3" w:rsidRPr="00402AE8" w:rsidRDefault="005D5EF3" w:rsidP="005D5EF3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02AE8">
        <w:rPr>
          <w:rFonts w:ascii="PT Astra Serif" w:hAnsi="PT Astra Serif" w:cs="Times New Roman"/>
          <w:b/>
          <w:sz w:val="24"/>
          <w:szCs w:val="24"/>
        </w:rPr>
        <w:t>ПОСТАНОВЛЕНИЕ</w:t>
      </w:r>
    </w:p>
    <w:p w:rsidR="00A431C2" w:rsidRPr="00402AE8" w:rsidRDefault="00A431C2" w:rsidP="00A431C2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5D5EF3" w:rsidRPr="00402AE8" w:rsidRDefault="007E7229" w:rsidP="003542BA">
      <w:pPr>
        <w:spacing w:before="100" w:beforeAutospacing="1"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02AE8">
        <w:rPr>
          <w:rFonts w:ascii="PT Astra Serif" w:hAnsi="PT Astra Serif" w:cs="Times New Roman"/>
          <w:b/>
          <w:bCs/>
          <w:sz w:val="24"/>
          <w:szCs w:val="24"/>
        </w:rPr>
        <w:t>28</w:t>
      </w:r>
      <w:r w:rsidR="00AC2A24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 сентября </w:t>
      </w:r>
      <w:r w:rsidR="00A431C2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2020 </w:t>
      </w:r>
      <w:r w:rsidR="005D5EF3" w:rsidRPr="00402AE8">
        <w:rPr>
          <w:rFonts w:ascii="PT Astra Serif" w:hAnsi="PT Astra Serif" w:cs="Times New Roman"/>
          <w:b/>
          <w:bCs/>
          <w:sz w:val="24"/>
          <w:szCs w:val="24"/>
        </w:rPr>
        <w:t>г</w:t>
      </w:r>
      <w:r w:rsidR="003542BA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ода                   </w:t>
      </w:r>
      <w:r w:rsidR="005D5EF3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                                                      </w:t>
      </w:r>
      <w:r w:rsidR="00CE5332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                   </w:t>
      </w:r>
      <w:r w:rsidR="005D5EF3" w:rsidRPr="00402AE8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AC2A24" w:rsidRPr="00402AE8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402AE8">
        <w:rPr>
          <w:rFonts w:ascii="PT Astra Serif" w:hAnsi="PT Astra Serif" w:cs="Times New Roman"/>
          <w:b/>
          <w:bCs/>
          <w:sz w:val="24"/>
          <w:szCs w:val="24"/>
        </w:rPr>
        <w:t>2</w:t>
      </w:r>
    </w:p>
    <w:p w:rsidR="006F178B" w:rsidRPr="00402AE8" w:rsidRDefault="006F178B" w:rsidP="006F178B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402AE8">
        <w:rPr>
          <w:rFonts w:ascii="PT Astra Serif" w:hAnsi="PT Astra Serif" w:cs="Times New Roman"/>
          <w:sz w:val="24"/>
          <w:szCs w:val="24"/>
        </w:rPr>
        <w:t>с. Новомихайловка</w:t>
      </w:r>
    </w:p>
    <w:p w:rsidR="005D5EF3" w:rsidRPr="00402AE8" w:rsidRDefault="005D5EF3" w:rsidP="005D5EF3">
      <w:pPr>
        <w:pStyle w:val="a3"/>
        <w:spacing w:before="0" w:beforeAutospacing="0" w:after="0" w:afterAutospacing="0"/>
        <w:jc w:val="center"/>
        <w:rPr>
          <w:rStyle w:val="a4"/>
          <w:rFonts w:ascii="PT Astra Serif" w:hAnsi="PT Astra Serif"/>
        </w:rPr>
      </w:pPr>
    </w:p>
    <w:p w:rsidR="003542BA" w:rsidRPr="00402AE8" w:rsidRDefault="005E2F3B" w:rsidP="003542BA">
      <w:pPr>
        <w:pStyle w:val="a3"/>
        <w:spacing w:before="0" w:beforeAutospacing="0" w:after="0" w:afterAutospacing="0"/>
        <w:jc w:val="center"/>
        <w:rPr>
          <w:rStyle w:val="a4"/>
          <w:rFonts w:ascii="PT Astra Serif" w:hAnsi="PT Astra Serif"/>
        </w:rPr>
      </w:pPr>
      <w:r w:rsidRPr="00402AE8">
        <w:rPr>
          <w:rStyle w:val="a4"/>
          <w:rFonts w:ascii="PT Astra Serif" w:hAnsi="PT Astra Serif"/>
        </w:rPr>
        <w:t xml:space="preserve">О Порядке разработки </w:t>
      </w:r>
      <w:r w:rsidR="008021E1" w:rsidRPr="00402AE8">
        <w:rPr>
          <w:rStyle w:val="a4"/>
          <w:rFonts w:ascii="PT Astra Serif" w:hAnsi="PT Astra Serif"/>
        </w:rPr>
        <w:t xml:space="preserve"> </w:t>
      </w:r>
      <w:r w:rsidR="005D5EF3" w:rsidRPr="00402AE8">
        <w:rPr>
          <w:rStyle w:val="a4"/>
          <w:rFonts w:ascii="PT Astra Serif" w:hAnsi="PT Astra Serif"/>
        </w:rPr>
        <w:t xml:space="preserve"> </w:t>
      </w:r>
    </w:p>
    <w:p w:rsidR="003542BA" w:rsidRPr="00402AE8" w:rsidRDefault="005E2F3B" w:rsidP="003542BA">
      <w:pPr>
        <w:pStyle w:val="a3"/>
        <w:spacing w:before="0" w:beforeAutospacing="0" w:after="0" w:afterAutospacing="0"/>
        <w:jc w:val="center"/>
        <w:rPr>
          <w:rStyle w:val="a4"/>
          <w:rFonts w:ascii="PT Astra Serif" w:hAnsi="PT Astra Serif"/>
        </w:rPr>
      </w:pPr>
      <w:r w:rsidRPr="00402AE8">
        <w:rPr>
          <w:rStyle w:val="a4"/>
          <w:rFonts w:ascii="PT Astra Serif" w:hAnsi="PT Astra Serif"/>
        </w:rPr>
        <w:t>среднесрочного финансового</w:t>
      </w:r>
      <w:r w:rsidR="003542BA" w:rsidRPr="00402AE8">
        <w:rPr>
          <w:rStyle w:val="a4"/>
          <w:rFonts w:ascii="PT Astra Serif" w:hAnsi="PT Astra Serif"/>
        </w:rPr>
        <w:t xml:space="preserve"> </w:t>
      </w:r>
      <w:r w:rsidRPr="00402AE8">
        <w:rPr>
          <w:rStyle w:val="a4"/>
          <w:rFonts w:ascii="PT Astra Serif" w:hAnsi="PT Astra Serif"/>
        </w:rPr>
        <w:t xml:space="preserve">плана </w:t>
      </w:r>
    </w:p>
    <w:p w:rsidR="003542BA" w:rsidRPr="00402AE8" w:rsidRDefault="007E7229" w:rsidP="003542BA">
      <w:pPr>
        <w:pStyle w:val="a3"/>
        <w:spacing w:before="0" w:beforeAutospacing="0" w:after="0" w:afterAutospacing="0"/>
        <w:jc w:val="center"/>
        <w:rPr>
          <w:rStyle w:val="a4"/>
          <w:rFonts w:ascii="PT Astra Serif" w:hAnsi="PT Astra Serif"/>
        </w:rPr>
      </w:pPr>
      <w:r w:rsidRPr="00402AE8">
        <w:rPr>
          <w:rStyle w:val="a4"/>
          <w:rFonts w:ascii="PT Astra Serif" w:hAnsi="PT Astra Serif"/>
        </w:rPr>
        <w:t>Новомихайловского</w:t>
      </w:r>
      <w:r w:rsidR="005D5EF3" w:rsidRPr="00402AE8">
        <w:rPr>
          <w:rStyle w:val="a4"/>
          <w:rFonts w:ascii="PT Astra Serif" w:hAnsi="PT Astra Serif"/>
        </w:rPr>
        <w:t xml:space="preserve"> сельсовета</w:t>
      </w:r>
      <w:r w:rsidR="00A431C2" w:rsidRPr="00402AE8">
        <w:rPr>
          <w:rStyle w:val="a4"/>
          <w:rFonts w:ascii="PT Astra Serif" w:hAnsi="PT Astra Serif"/>
        </w:rPr>
        <w:t xml:space="preserve"> </w:t>
      </w:r>
    </w:p>
    <w:p w:rsidR="005E2F3B" w:rsidRPr="00402AE8" w:rsidRDefault="00CE5332" w:rsidP="003542BA">
      <w:pPr>
        <w:pStyle w:val="a3"/>
        <w:spacing w:before="0" w:beforeAutospacing="0" w:after="0" w:afterAutospacing="0"/>
        <w:jc w:val="center"/>
        <w:rPr>
          <w:rFonts w:ascii="PT Astra Serif" w:hAnsi="PT Astra Serif"/>
        </w:rPr>
      </w:pPr>
      <w:r w:rsidRPr="00402AE8">
        <w:rPr>
          <w:rStyle w:val="a4"/>
          <w:rFonts w:ascii="PT Astra Serif" w:hAnsi="PT Astra Serif"/>
        </w:rPr>
        <w:t>Татарского</w:t>
      </w:r>
      <w:r w:rsidR="00A431C2" w:rsidRPr="00402AE8">
        <w:rPr>
          <w:rStyle w:val="a4"/>
          <w:rFonts w:ascii="PT Astra Serif" w:hAnsi="PT Astra Serif"/>
        </w:rPr>
        <w:t xml:space="preserve"> района Новосибирской области</w:t>
      </w:r>
      <w:r w:rsidR="005D5EF3" w:rsidRPr="00402AE8">
        <w:rPr>
          <w:rStyle w:val="a4"/>
          <w:rFonts w:ascii="PT Astra Serif" w:hAnsi="PT Astra Serif"/>
        </w:rPr>
        <w:t xml:space="preserve"> </w:t>
      </w:r>
      <w:r w:rsidR="008021E1" w:rsidRPr="00402AE8">
        <w:rPr>
          <w:rStyle w:val="a4"/>
          <w:rFonts w:ascii="PT Astra Serif" w:hAnsi="PT Astra Serif"/>
        </w:rPr>
        <w:t xml:space="preserve"> </w:t>
      </w:r>
    </w:p>
    <w:p w:rsidR="003542BA" w:rsidRPr="00402AE8" w:rsidRDefault="00A431C2" w:rsidP="003542BA">
      <w:pPr>
        <w:pStyle w:val="a3"/>
        <w:spacing w:before="0" w:beforeAutospacing="0" w:after="0" w:afterAutospacing="0"/>
        <w:jc w:val="both"/>
        <w:rPr>
          <w:rFonts w:ascii="PT Astra Serif" w:hAnsi="PT Astra Serif"/>
        </w:rPr>
      </w:pPr>
      <w:r w:rsidRPr="00402AE8">
        <w:rPr>
          <w:rFonts w:ascii="PT Astra Serif" w:hAnsi="PT Astra Serif"/>
        </w:rPr>
        <w:t xml:space="preserve"> </w:t>
      </w:r>
    </w:p>
    <w:p w:rsidR="00CE5332" w:rsidRPr="00402AE8" w:rsidRDefault="003542BA" w:rsidP="003542BA">
      <w:pPr>
        <w:pStyle w:val="a3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402AE8">
        <w:rPr>
          <w:rFonts w:ascii="PT Astra Serif" w:hAnsi="PT Astra Serif"/>
        </w:rPr>
        <w:t xml:space="preserve">      </w:t>
      </w:r>
      <w:r w:rsidR="005E2F3B" w:rsidRPr="00402AE8">
        <w:rPr>
          <w:rFonts w:ascii="PT Astra Serif" w:hAnsi="PT Astra Serif"/>
        </w:rPr>
        <w:t>Руководствуясь статьей 174 Бюджетного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</w:t>
      </w:r>
      <w:r w:rsidR="00CE5332" w:rsidRPr="00402AE8">
        <w:rPr>
          <w:rFonts w:ascii="PT Astra Serif" w:hAnsi="PT Astra Serif"/>
        </w:rPr>
        <w:t>ом</w:t>
      </w:r>
      <w:r w:rsidR="005E2F3B" w:rsidRPr="00402AE8">
        <w:rPr>
          <w:rFonts w:ascii="PT Astra Serif" w:hAnsi="PT Astra Serif"/>
        </w:rPr>
        <w:t xml:space="preserve"> </w:t>
      </w:r>
      <w:r w:rsidR="007E7229" w:rsidRPr="00402AE8">
        <w:rPr>
          <w:rFonts w:ascii="PT Astra Serif" w:hAnsi="PT Astra Serif"/>
        </w:rPr>
        <w:t>Новомихайловского</w:t>
      </w:r>
      <w:r w:rsidR="005D5EF3" w:rsidRPr="00402AE8">
        <w:rPr>
          <w:rFonts w:ascii="PT Astra Serif" w:hAnsi="PT Astra Serif"/>
        </w:rPr>
        <w:t xml:space="preserve"> сельсовета</w:t>
      </w:r>
      <w:r w:rsidR="00A431C2" w:rsidRPr="00402AE8">
        <w:rPr>
          <w:rFonts w:ascii="PT Astra Serif" w:hAnsi="PT Astra Serif"/>
        </w:rPr>
        <w:t xml:space="preserve"> </w:t>
      </w:r>
      <w:r w:rsidR="00CE5332" w:rsidRPr="00402AE8">
        <w:rPr>
          <w:rFonts w:ascii="PT Astra Serif" w:hAnsi="PT Astra Serif"/>
        </w:rPr>
        <w:t>Татарского</w:t>
      </w:r>
      <w:r w:rsidR="00BD4145" w:rsidRPr="00402AE8">
        <w:rPr>
          <w:rFonts w:ascii="PT Astra Serif" w:hAnsi="PT Astra Serif"/>
        </w:rPr>
        <w:t xml:space="preserve"> района Новосибирской области, администрация </w:t>
      </w:r>
      <w:r w:rsidR="007E7229" w:rsidRPr="00402AE8">
        <w:rPr>
          <w:rFonts w:ascii="PT Astra Serif" w:hAnsi="PT Astra Serif"/>
        </w:rPr>
        <w:t>Новомихайловского</w:t>
      </w:r>
      <w:r w:rsidR="00CE5332" w:rsidRPr="00402AE8">
        <w:rPr>
          <w:rFonts w:ascii="PT Astra Serif" w:hAnsi="PT Astra Serif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hAnsi="PT Astra Serif"/>
          <w:b/>
        </w:rPr>
        <w:t xml:space="preserve"> </w:t>
      </w:r>
    </w:p>
    <w:p w:rsidR="003542BA" w:rsidRPr="00402AE8" w:rsidRDefault="003542BA" w:rsidP="00AC2A24">
      <w:pPr>
        <w:pStyle w:val="a3"/>
        <w:spacing w:before="0" w:beforeAutospacing="0" w:after="166" w:afterAutospacing="0"/>
        <w:jc w:val="center"/>
        <w:rPr>
          <w:rFonts w:ascii="PT Astra Serif" w:hAnsi="PT Astra Serif"/>
          <w:b/>
        </w:rPr>
      </w:pPr>
    </w:p>
    <w:p w:rsidR="005E2F3B" w:rsidRPr="00402AE8" w:rsidRDefault="00A431C2" w:rsidP="00AC2A24">
      <w:pPr>
        <w:pStyle w:val="a3"/>
        <w:spacing w:before="0" w:beforeAutospacing="0" w:after="166" w:afterAutospacing="0"/>
        <w:jc w:val="center"/>
        <w:rPr>
          <w:rFonts w:ascii="PT Astra Serif" w:hAnsi="PT Astra Serif"/>
          <w:b/>
        </w:rPr>
      </w:pPr>
      <w:r w:rsidRPr="00402AE8">
        <w:rPr>
          <w:rFonts w:ascii="PT Astra Serif" w:hAnsi="PT Astra Serif"/>
          <w:b/>
        </w:rPr>
        <w:t>ПОСТАНОВЛЯЕТ</w:t>
      </w:r>
      <w:r w:rsidR="005E2F3B" w:rsidRPr="00402AE8">
        <w:rPr>
          <w:rFonts w:ascii="PT Astra Serif" w:hAnsi="PT Astra Serif"/>
          <w:b/>
        </w:rPr>
        <w:t>:</w:t>
      </w:r>
    </w:p>
    <w:p w:rsidR="005E2F3B" w:rsidRPr="00402AE8" w:rsidRDefault="00CE5332" w:rsidP="005E2F3B">
      <w:pPr>
        <w:pStyle w:val="a3"/>
        <w:spacing w:before="0" w:beforeAutospacing="0" w:after="166" w:afterAutospacing="0"/>
        <w:jc w:val="both"/>
        <w:rPr>
          <w:rFonts w:ascii="PT Astra Serif" w:hAnsi="PT Astra Serif"/>
        </w:rPr>
      </w:pPr>
      <w:r w:rsidRPr="00402AE8">
        <w:rPr>
          <w:rFonts w:ascii="PT Astra Serif" w:hAnsi="PT Astra Serif"/>
        </w:rPr>
        <w:t>1. Утвердить Порядок разработки</w:t>
      </w:r>
      <w:r w:rsidR="005E2F3B" w:rsidRPr="00402AE8">
        <w:rPr>
          <w:rFonts w:ascii="PT Astra Serif" w:hAnsi="PT Astra Serif"/>
        </w:rPr>
        <w:t xml:space="preserve"> среднесрочного финансового плана </w:t>
      </w:r>
      <w:r w:rsidR="007E7229" w:rsidRPr="00402AE8">
        <w:rPr>
          <w:rFonts w:ascii="PT Astra Serif" w:hAnsi="PT Astra Serif"/>
        </w:rPr>
        <w:t>Новомихайловского</w:t>
      </w:r>
      <w:r w:rsidRPr="00402AE8">
        <w:rPr>
          <w:rFonts w:ascii="PT Astra Serif" w:hAnsi="PT Astra Serif"/>
        </w:rPr>
        <w:t xml:space="preserve"> сельсовета Татарского района Новосибирской области </w:t>
      </w:r>
      <w:r w:rsidR="005E2F3B" w:rsidRPr="00402AE8">
        <w:rPr>
          <w:rFonts w:ascii="PT Astra Serif" w:hAnsi="PT Astra Serif"/>
        </w:rPr>
        <w:t>(прилагается).</w:t>
      </w:r>
    </w:p>
    <w:p w:rsidR="005D5EF3" w:rsidRPr="00402AE8" w:rsidRDefault="005E2F3B" w:rsidP="005D5EF3">
      <w:pPr>
        <w:widowControl w:val="0"/>
        <w:autoSpaceDE w:val="0"/>
        <w:autoSpaceDN w:val="0"/>
        <w:jc w:val="both"/>
        <w:rPr>
          <w:rFonts w:ascii="PT Astra Serif" w:hAnsi="PT Astra Serif" w:cs="Times New Roman"/>
          <w:sz w:val="24"/>
          <w:szCs w:val="24"/>
        </w:rPr>
      </w:pPr>
      <w:r w:rsidRPr="00402AE8">
        <w:rPr>
          <w:rFonts w:ascii="PT Astra Serif" w:hAnsi="PT Astra Serif" w:cs="Times New Roman"/>
          <w:sz w:val="24"/>
          <w:szCs w:val="24"/>
        </w:rPr>
        <w:t xml:space="preserve">2. </w:t>
      </w:r>
      <w:r w:rsidR="005D5EF3" w:rsidRPr="00402AE8">
        <w:rPr>
          <w:rFonts w:ascii="PT Astra Serif" w:hAnsi="PT Astra Serif" w:cs="Times New Roman"/>
          <w:sz w:val="24"/>
          <w:szCs w:val="24"/>
        </w:rPr>
        <w:t>Настоящее постановление вступает в силу со дня его официального опубликования</w:t>
      </w:r>
      <w:r w:rsidR="007076EF" w:rsidRPr="00402AE8">
        <w:rPr>
          <w:rFonts w:ascii="PT Astra Serif" w:hAnsi="PT Astra Serif" w:cs="Times New Roman"/>
          <w:sz w:val="24"/>
          <w:szCs w:val="24"/>
        </w:rPr>
        <w:t>.</w:t>
      </w:r>
      <w:r w:rsidR="005D5EF3" w:rsidRPr="00402AE8">
        <w:rPr>
          <w:rFonts w:ascii="PT Astra Serif" w:hAnsi="PT Astra Serif" w:cs="Times New Roman"/>
          <w:sz w:val="24"/>
          <w:szCs w:val="24"/>
        </w:rPr>
        <w:t xml:space="preserve"> </w:t>
      </w:r>
      <w:r w:rsidR="007076EF" w:rsidRPr="00402AE8">
        <w:rPr>
          <w:rFonts w:ascii="PT Astra Serif" w:hAnsi="PT Astra Serif" w:cs="Times New Roman"/>
          <w:sz w:val="24"/>
          <w:szCs w:val="24"/>
        </w:rPr>
        <w:t xml:space="preserve"> </w:t>
      </w:r>
    </w:p>
    <w:p w:rsidR="005E2F3B" w:rsidRPr="00402AE8" w:rsidRDefault="00BC5DBF" w:rsidP="005E2F3B">
      <w:pPr>
        <w:pStyle w:val="a3"/>
        <w:spacing w:before="0" w:beforeAutospacing="0" w:after="166" w:afterAutospacing="0"/>
        <w:jc w:val="both"/>
        <w:rPr>
          <w:rFonts w:ascii="PT Astra Serif" w:hAnsi="PT Astra Serif"/>
        </w:rPr>
      </w:pPr>
      <w:r w:rsidRPr="00402AE8">
        <w:rPr>
          <w:rFonts w:ascii="PT Astra Serif" w:hAnsi="PT Astra Serif"/>
        </w:rPr>
        <w:t>3. О</w:t>
      </w:r>
      <w:r w:rsidR="005D5EF3" w:rsidRPr="00402AE8">
        <w:rPr>
          <w:rFonts w:ascii="PT Astra Serif" w:hAnsi="PT Astra Serif"/>
        </w:rPr>
        <w:t>публикова</w:t>
      </w:r>
      <w:r w:rsidR="007076EF" w:rsidRPr="00402AE8">
        <w:rPr>
          <w:rFonts w:ascii="PT Astra Serif" w:hAnsi="PT Astra Serif"/>
        </w:rPr>
        <w:t>ть постановление в периодическом печатном издании «</w:t>
      </w:r>
      <w:r w:rsidR="007E7229" w:rsidRPr="00402AE8">
        <w:rPr>
          <w:rFonts w:ascii="PT Astra Serif" w:hAnsi="PT Astra Serif"/>
        </w:rPr>
        <w:t>Новомихайловский вестник</w:t>
      </w:r>
      <w:r w:rsidR="007076EF" w:rsidRPr="00402AE8">
        <w:rPr>
          <w:rFonts w:ascii="PT Astra Serif" w:hAnsi="PT Astra Serif"/>
        </w:rPr>
        <w:t xml:space="preserve">» и разместить на официальном сайте администрации </w:t>
      </w:r>
      <w:r w:rsidR="007E7229" w:rsidRPr="00402AE8">
        <w:rPr>
          <w:rFonts w:ascii="PT Astra Serif" w:hAnsi="PT Astra Serif"/>
        </w:rPr>
        <w:t>Новомихайловского</w:t>
      </w:r>
      <w:r w:rsidR="00CE5332" w:rsidRPr="00402AE8">
        <w:rPr>
          <w:rFonts w:ascii="PT Astra Serif" w:hAnsi="PT Astra Serif"/>
        </w:rPr>
        <w:t xml:space="preserve"> сельсовета Татарского района Новосибирской области</w:t>
      </w:r>
      <w:r w:rsidRPr="00402AE8">
        <w:rPr>
          <w:rFonts w:ascii="PT Astra Serif" w:hAnsi="PT Astra Serif"/>
        </w:rPr>
        <w:t>.</w:t>
      </w:r>
    </w:p>
    <w:p w:rsidR="005D5EF3" w:rsidRPr="00402AE8" w:rsidRDefault="005D5EF3" w:rsidP="005D5EF3">
      <w:pPr>
        <w:pStyle w:val="a3"/>
        <w:spacing w:before="0" w:beforeAutospacing="0" w:after="0" w:afterAutospacing="0"/>
        <w:jc w:val="both"/>
        <w:rPr>
          <w:rFonts w:ascii="PT Astra Serif" w:hAnsi="PT Astra Serif"/>
        </w:rPr>
      </w:pPr>
    </w:p>
    <w:p w:rsidR="005D5EF3" w:rsidRPr="00402AE8" w:rsidRDefault="005D5EF3" w:rsidP="005D5EF3">
      <w:pPr>
        <w:pStyle w:val="a3"/>
        <w:spacing w:before="0" w:beforeAutospacing="0" w:after="0" w:afterAutospacing="0"/>
        <w:jc w:val="both"/>
        <w:rPr>
          <w:rFonts w:ascii="PT Astra Serif" w:hAnsi="PT Astra Serif"/>
        </w:rPr>
      </w:pPr>
    </w:p>
    <w:p w:rsidR="005D5EF3" w:rsidRPr="00402AE8" w:rsidRDefault="005D5EF3" w:rsidP="005D5EF3">
      <w:pPr>
        <w:pStyle w:val="a3"/>
        <w:spacing w:before="0" w:beforeAutospacing="0" w:after="0" w:afterAutospacing="0"/>
        <w:jc w:val="both"/>
        <w:rPr>
          <w:rFonts w:ascii="PT Astra Serif" w:hAnsi="PT Astra Serif"/>
        </w:rPr>
      </w:pPr>
    </w:p>
    <w:p w:rsidR="00CE5332" w:rsidRPr="00402AE8" w:rsidRDefault="003542BA" w:rsidP="00CE5332">
      <w:pPr>
        <w:pStyle w:val="a5"/>
        <w:rPr>
          <w:rFonts w:ascii="PT Astra Serif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Глава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</w:t>
      </w:r>
    </w:p>
    <w:p w:rsidR="007076EF" w:rsidRPr="00402AE8" w:rsidRDefault="00CE5332" w:rsidP="00CE5332">
      <w:pPr>
        <w:pStyle w:val="a5"/>
        <w:rPr>
          <w:rFonts w:ascii="PT Astra Serif" w:hAnsi="PT Astra Serif" w:cs="Times New Roman"/>
          <w:sz w:val="24"/>
          <w:szCs w:val="24"/>
        </w:rPr>
      </w:pPr>
      <w:r w:rsidRPr="00402AE8">
        <w:rPr>
          <w:rFonts w:ascii="PT Astra Serif" w:hAnsi="PT Astra Serif" w:cs="Times New Roman"/>
          <w:sz w:val="24"/>
          <w:szCs w:val="24"/>
        </w:rPr>
        <w:t xml:space="preserve">Татарского района Новосибирской области               </w:t>
      </w:r>
      <w:r w:rsidR="003542BA" w:rsidRPr="00402AE8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402AE8">
        <w:rPr>
          <w:rFonts w:ascii="PT Astra Serif" w:hAnsi="PT Astra Serif" w:cs="Times New Roman"/>
          <w:sz w:val="24"/>
          <w:szCs w:val="24"/>
        </w:rPr>
        <w:t xml:space="preserve">          </w:t>
      </w:r>
      <w:r w:rsidR="007E7229" w:rsidRPr="00402AE8">
        <w:rPr>
          <w:rFonts w:ascii="PT Astra Serif" w:hAnsi="PT Astra Serif" w:cs="Times New Roman"/>
          <w:sz w:val="24"/>
          <w:szCs w:val="24"/>
        </w:rPr>
        <w:t>Н</w:t>
      </w:r>
      <w:r w:rsidR="00875A70" w:rsidRPr="00402AE8">
        <w:rPr>
          <w:rFonts w:ascii="PT Astra Serif" w:hAnsi="PT Astra Serif" w:cs="Times New Roman"/>
          <w:sz w:val="24"/>
          <w:szCs w:val="24"/>
        </w:rPr>
        <w:t>.В.</w:t>
      </w:r>
      <w:r w:rsidR="007E7229" w:rsidRPr="00402AE8">
        <w:rPr>
          <w:rFonts w:ascii="PT Astra Serif" w:hAnsi="PT Astra Serif" w:cs="Times New Roman"/>
          <w:sz w:val="24"/>
          <w:szCs w:val="24"/>
        </w:rPr>
        <w:t>Гладышева</w:t>
      </w:r>
    </w:p>
    <w:p w:rsidR="00CE5332" w:rsidRPr="00402AE8" w:rsidRDefault="00CE5332" w:rsidP="00CE5332">
      <w:pPr>
        <w:pStyle w:val="a5"/>
        <w:rPr>
          <w:rFonts w:ascii="PT Astra Serif" w:hAnsi="PT Astra Serif" w:cs="Times New Roman"/>
          <w:sz w:val="24"/>
          <w:szCs w:val="24"/>
        </w:rPr>
      </w:pPr>
    </w:p>
    <w:p w:rsidR="00CE5332" w:rsidRPr="00402AE8" w:rsidRDefault="00CE5332" w:rsidP="00CE5332">
      <w:pPr>
        <w:pStyle w:val="a5"/>
        <w:rPr>
          <w:rFonts w:ascii="PT Astra Serif" w:hAnsi="PT Astra Serif" w:cs="Times New Roman"/>
          <w:sz w:val="24"/>
          <w:szCs w:val="24"/>
        </w:rPr>
      </w:pPr>
    </w:p>
    <w:p w:rsidR="00CE5332" w:rsidRPr="00402AE8" w:rsidRDefault="00CE5332" w:rsidP="00CE5332">
      <w:pPr>
        <w:pStyle w:val="a5"/>
        <w:rPr>
          <w:rFonts w:ascii="PT Astra Serif" w:hAnsi="PT Astra Serif" w:cs="Times New Roman"/>
          <w:sz w:val="24"/>
          <w:szCs w:val="24"/>
        </w:rPr>
      </w:pPr>
    </w:p>
    <w:p w:rsidR="00CE5332" w:rsidRPr="00402AE8" w:rsidRDefault="00CE5332" w:rsidP="00CE5332">
      <w:pPr>
        <w:pStyle w:val="a5"/>
        <w:rPr>
          <w:rFonts w:ascii="PT Astra Serif" w:hAnsi="PT Astra Serif" w:cs="Times New Roman"/>
          <w:sz w:val="24"/>
          <w:szCs w:val="24"/>
        </w:rPr>
      </w:pPr>
    </w:p>
    <w:p w:rsidR="00875A70" w:rsidRPr="00402AE8" w:rsidRDefault="00875A70" w:rsidP="00CE5332">
      <w:pPr>
        <w:pStyle w:val="a5"/>
        <w:rPr>
          <w:rFonts w:ascii="PT Astra Serif" w:hAnsi="PT Astra Serif" w:cs="Times New Roman"/>
          <w:sz w:val="24"/>
          <w:szCs w:val="24"/>
        </w:rPr>
      </w:pPr>
    </w:p>
    <w:p w:rsidR="00CE5332" w:rsidRPr="00402AE8" w:rsidRDefault="00CE5332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AC2A24" w:rsidRPr="00402AE8" w:rsidRDefault="00AC2A24" w:rsidP="00CE5332">
      <w:pPr>
        <w:pStyle w:val="a5"/>
        <w:rPr>
          <w:rFonts w:ascii="PT Astra Serif" w:eastAsia="Times New Roman" w:hAnsi="PT Astra Serif" w:cs="Times New Roman"/>
          <w:sz w:val="24"/>
          <w:szCs w:val="24"/>
        </w:rPr>
      </w:pPr>
    </w:p>
    <w:p w:rsidR="005E2F3B" w:rsidRPr="00402AE8" w:rsidRDefault="005E2F3B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lastRenderedPageBreak/>
        <w:t>Приложение</w:t>
      </w:r>
    </w:p>
    <w:p w:rsidR="005E2F3B" w:rsidRPr="00402AE8" w:rsidRDefault="005E2F3B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к постановлению 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дминистрации</w:t>
      </w:r>
    </w:p>
    <w:p w:rsidR="00A431C2" w:rsidRPr="00402AE8" w:rsidRDefault="007E7229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Новомихайловского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 xml:space="preserve"> сельсовета</w:t>
      </w:r>
    </w:p>
    <w:p w:rsidR="00A431C2" w:rsidRPr="00402AE8" w:rsidRDefault="00CE5332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Татарского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района </w:t>
      </w:r>
    </w:p>
    <w:p w:rsidR="00A431C2" w:rsidRPr="00402AE8" w:rsidRDefault="00A431C2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Новосибирской области</w:t>
      </w:r>
    </w:p>
    <w:p w:rsidR="005E2F3B" w:rsidRPr="00402AE8" w:rsidRDefault="005E2F3B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от </w:t>
      </w:r>
      <w:r w:rsidR="007E7229" w:rsidRPr="00402AE8">
        <w:rPr>
          <w:rFonts w:ascii="PT Astra Serif" w:eastAsia="Times New Roman" w:hAnsi="PT Astra Serif" w:cs="Times New Roman"/>
          <w:sz w:val="24"/>
          <w:szCs w:val="24"/>
        </w:rPr>
        <w:t>28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>.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>0</w:t>
      </w:r>
      <w:r w:rsidR="007E7229" w:rsidRPr="00402AE8">
        <w:rPr>
          <w:rFonts w:ascii="PT Astra Serif" w:eastAsia="Times New Roman" w:hAnsi="PT Astra Serif" w:cs="Times New Roman"/>
          <w:sz w:val="24"/>
          <w:szCs w:val="24"/>
        </w:rPr>
        <w:t>9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.20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>20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№ </w:t>
      </w:r>
      <w:r w:rsidR="00AC2A24" w:rsidRPr="00402AE8">
        <w:rPr>
          <w:rFonts w:ascii="PT Astra Serif" w:eastAsia="Times New Roman" w:hAnsi="PT Astra Serif" w:cs="Times New Roman"/>
          <w:sz w:val="24"/>
          <w:szCs w:val="24"/>
        </w:rPr>
        <w:t>4</w:t>
      </w:r>
      <w:r w:rsidR="007E7229" w:rsidRPr="00402AE8">
        <w:rPr>
          <w:rFonts w:ascii="PT Astra Serif" w:eastAsia="Times New Roman" w:hAnsi="PT Astra Serif" w:cs="Times New Roman"/>
          <w:sz w:val="24"/>
          <w:szCs w:val="24"/>
        </w:rPr>
        <w:t>2</w:t>
      </w:r>
    </w:p>
    <w:p w:rsidR="00A431C2" w:rsidRPr="00402AE8" w:rsidRDefault="00A431C2" w:rsidP="00A431C2">
      <w:pPr>
        <w:pStyle w:val="a5"/>
        <w:jc w:val="right"/>
        <w:rPr>
          <w:rFonts w:ascii="PT Astra Serif" w:eastAsia="Times New Roman" w:hAnsi="PT Astra Serif" w:cs="Times New Roman"/>
          <w:sz w:val="24"/>
          <w:szCs w:val="24"/>
        </w:rPr>
      </w:pPr>
    </w:p>
    <w:p w:rsidR="005E2F3B" w:rsidRPr="00402AE8" w:rsidRDefault="005E2F3B" w:rsidP="00CE5332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bCs/>
          <w:sz w:val="24"/>
          <w:szCs w:val="24"/>
        </w:rPr>
        <w:t>ПОРЯДОК</w:t>
      </w:r>
    </w:p>
    <w:p w:rsidR="005E2F3B" w:rsidRPr="00402AE8" w:rsidRDefault="005E2F3B" w:rsidP="00CE5332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разработки </w:t>
      </w:r>
      <w:r w:rsidR="005D5EF3" w:rsidRPr="00402AE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среднесрочного финансового плана</w:t>
      </w:r>
    </w:p>
    <w:p w:rsidR="00CE5332" w:rsidRPr="00402AE8" w:rsidRDefault="007E7229" w:rsidP="00CE5332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02AE8">
        <w:rPr>
          <w:rFonts w:ascii="PT Astra Serif" w:hAnsi="PT Astra Serif" w:cs="Times New Roman"/>
          <w:b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b/>
          <w:sz w:val="24"/>
          <w:szCs w:val="24"/>
        </w:rPr>
        <w:t xml:space="preserve"> сельсовета Татарского района </w:t>
      </w:r>
    </w:p>
    <w:p w:rsidR="00CE5332" w:rsidRPr="00402AE8" w:rsidRDefault="00CE5332" w:rsidP="00CE5332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hAnsi="PT Astra Serif" w:cs="Times New Roman"/>
          <w:b/>
          <w:sz w:val="24"/>
          <w:szCs w:val="24"/>
        </w:rPr>
        <w:t>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CE5332" w:rsidRPr="00402AE8" w:rsidRDefault="00CE5332" w:rsidP="00CE5332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CE5332" w:rsidRPr="00402AE8" w:rsidRDefault="007076EF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t>1.</w:t>
      </w:r>
      <w:r w:rsidR="005E2F3B" w:rsidRPr="00402AE8">
        <w:rPr>
          <w:rFonts w:ascii="PT Astra Serif" w:eastAsia="Times New Roman" w:hAnsi="PT Astra Serif" w:cs="Times New Roman"/>
          <w:b/>
          <w:sz w:val="24"/>
          <w:szCs w:val="24"/>
        </w:rPr>
        <w:t>Общие положения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1.1. Настоящий Порядок разработан в целях урегулирования правоотношений по формированию, утверждению, применению и мониторингу применения среднесрочного финансового плана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, создания базового механизма для увязывания социально-экономической и финансовой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в среднесрочной перспективе.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1.2. Среднесрочный финансовый план разрабатывается ежегодно на предстоящие три года, первый из которых – это год, на который составляется местный бюджет.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1.3. Разработка среднесрочного финансового плана основывается на утвержденных Главой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на предстоящий трехлетний период основных направлениях бюджетной, налоговой и долговой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, а также разработанном варианте сценарных условий развития экономики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предстоящий трехлетний период (далее – сценарные условия) и основных показателях программы приватизации муниципального имущества на предстоящий трехлетний период.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В ходе разработки среднесрочного финансового плана принимаются во внимание основные параметры прогноза социально-экономического развития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среднесрочную перспективу.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1.4. Разработка среднесрочного финансового плана осуществляется 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5D5EF3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CE5332" w:rsidRPr="00402AE8" w:rsidRDefault="00CE5332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t>2. Основные понятия и термины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2.1. Предельный бюджет главного распорядителя бюджетных средств – используемый для целей бюджетного планирования общий объем расходов главного распорядителя бюджетных средств (включая расходы за счет поступлений от предпринимательской и иной приносящей доход деятельности) c выделением бюджета действующих обязательств и бюджета принимаемых обязательств, а также главных разделов функциональной классификации расходов бюджетов Российской Федерации.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2.2. Иные понятия и термины используются в значениях, установленных в Бюджетном кодексе Российской Федерации и Положении о бюджетном устройстве и бюджетном процессе 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Новомихайловском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сельсовете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3. Основы разработки среднесрочного финансового плана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3.1. Среднесрочный финансовый план разрабатывается в два этапа.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На первом этапе разрабатываются и одобряются Основные показатели среднесрочного финансового плана с целью определения общего объема финансовых ресурсов, которые могут быть направлены на исполнение расходных обязательств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в предстоящие три года.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На втором этапе разрабатывается среднесрочный финансовый план с целью определения основных параметров состояния местных финансов и установления предельных объемов бюджетов главных распорядителей бюджетных средств на предстоящие три года.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3.2. Разработке среднесрочного финансового плана предшествуют: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разработка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и утверждение </w:t>
      </w:r>
      <w:r w:rsidR="00BC5DBF" w:rsidRPr="00402AE8">
        <w:rPr>
          <w:rFonts w:ascii="PT Astra Serif" w:eastAsia="Times New Roman" w:hAnsi="PT Astra Serif" w:cs="Times New Roman"/>
          <w:sz w:val="24"/>
          <w:szCs w:val="24"/>
        </w:rPr>
        <w:t>Г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лавой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на предстоящий трехлетний период основных направлений бюджетной, налоговой и долговой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разработка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двух вариантов сценарных условий (консервативного и оптимистического).</w:t>
      </w:r>
    </w:p>
    <w:p w:rsidR="00A431C2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3.3. Основные направления бюджетной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должны содержать краткий анализ структуры расходов местного бюджета 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социально-экономического развития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3.4. Основные направления налоговой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должны содержать анализ законодательства о налогах и сборах в части налогов и сборов, формирующих налоговые доходы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; обоснование предложений по его совершенствованию в пределах компетенции органов местного самоуправления поселения; оценку влияния данных предложений на сценарные условия.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3.5. Основные направления долговой политики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должны разрабатываться в соответствии с Порядком осуществления муниципальных заимствований, обслуживания и управления муниципальным долгом, утвержденным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Советом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депутатов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, и содержать анализ и прогноз объема и структуры муниципального долга, обоснование предложений по объемам заимствований, оценку стоимости обслуживания и объемов погашения муниципального долга в предстоящий трехлетний период.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3.6. Сценарные условия должны содержать следующие показатели на предстоящий трехлетний период: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прогноз инфляции;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прогноз цен и тарифов на услуги естественных монополий, на услуги муниципальных предприятий 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>Татарского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района 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</w:t>
      </w:r>
      <w:r w:rsidR="00CE5332" w:rsidRPr="00402AE8">
        <w:rPr>
          <w:rFonts w:ascii="PT Astra Serif" w:hAnsi="PT Astra Serif" w:cs="Times New Roman"/>
          <w:sz w:val="24"/>
          <w:szCs w:val="24"/>
        </w:rPr>
        <w:lastRenderedPageBreak/>
        <w:t>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прогноз объема налоговых и неналоговых доходов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инвестиции в основной капитал;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фонд заработной платы;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иные показатели, необходимые для прогнозирования доходов и расходов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 и среднесрочную перспективу.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3.7. При разработке сценарных условий, основных направлений бюджетной, налоговой и долговой политики, основных показателей среднесрочного финансового плана и среднесрочного финансового плана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обеспечивается возможность публичного обсуждения включаемых в них данных.</w:t>
      </w:r>
    </w:p>
    <w:p w:rsidR="00AC2A24" w:rsidRPr="00402AE8" w:rsidRDefault="00AC2A24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t>4. Разработка Основных показателей среднесрочного финансового плана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4.1. Основные показатели среднесрочного финансового плана разрабатываются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по следующим направлениям: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прогноз доходов бюджета поселения на предстоящие три года (с выделением сумм по годам);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прогноз предельных объемов муниципальных заимствований и погашения муниципального долга на предстоящие три года (с выделением сумм по годам);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прогноз основных показателей расходов бюджета поселения на предстоящие три года (с выделением сумм по годам).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2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Разработка прогноза доходов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осуществляется на основании: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действующего налогового законодательства Российской Федерации, законодательства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новосибирской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области о налогах и сборах, решений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Совета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депутатов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о налогах и сборах, а также их предполагаемых изменений;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нормативов отчислений от федеральных, региональных, местных налогов и сборов, налогов, предусмотренных специальными налоговыми режимами, в бюджет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информации о предполагаемых объемах финансовой помощи из бюджетов других уровней бюджетной системы Российской Федерации бюджету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показателей сценарных условий.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3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 Прогноз предельных объемов муниципальных заимствований и погашения муниципального долга на предстоящие три года разрабатывается с соответствии с Порядком осуществления муниципальных заимствований, обслуживания и управления муниципальным долгом.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lastRenderedPageBreak/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4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Прогноз основных показателей расходов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на предстоящие три года составляется следующим образом: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исходя из ожидаемых доходов и сальдо поступлений из источников финансирования дефицита бюджета рассчитывается общий объем ожидаемых расходов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CE533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в условиях действующего налогового и бюджетного законодательства, а также с учетом его ожидаемых изменений;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на основании данных реестра расходных обязательств определяется объем действующих обязательств (с выделением расходов текущего и инвестиционного характера);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в соответствии с Положением о бюджетном процессе 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Новомихайловском</w:t>
      </w:r>
      <w:r w:rsidR="00CE5332" w:rsidRPr="00402AE8">
        <w:rPr>
          <w:rFonts w:ascii="PT Astra Serif" w:hAnsi="PT Astra Serif" w:cs="Times New Roman"/>
          <w:sz w:val="24"/>
          <w:szCs w:val="24"/>
        </w:rPr>
        <w:t xml:space="preserve"> сельсовете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устанавливается объем резервного фонда;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5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В случае если сумма объема бюджета действующих обязательств и объема резервного фонда </w:t>
      </w:r>
      <w:r w:rsidR="00F3481D" w:rsidRPr="00402AE8">
        <w:rPr>
          <w:rFonts w:ascii="PT Astra Serif" w:eastAsia="Times New Roman" w:hAnsi="PT Astra Serif" w:cs="Times New Roman"/>
          <w:sz w:val="24"/>
          <w:szCs w:val="24"/>
        </w:rPr>
        <w:t>Г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лавы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хотя бы на один год из трех предстоящих лет превышает планируемый объем доходов и сальдо покрытия дефицита бюджета при консервативном сценарии социально-экономического развития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, действующие расходные обязательства подлежат сокращению.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6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При составлении прогнозов доходов и основных показателей расходов местного бюджета в расчет не принимаются объемы передаваемых в бюджет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из бюджетов других уровней средств для осуществления органами местного самоуправления поселения переданных государственных полномочий.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7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 Основные показатели среднесрочного финансового плана сопровождаются пояснительной запиской, которая должна содержать: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характеристику основных показателей среднесрочного финансового плана;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анализ влияющих на них факторов и условий;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обоснование варианта, предлагаемого для формирования среднесрочного финансового плана на предстоящие три года и проекта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обоснование выделения в составе бюджета принимаемых обязательств расходов текущего и капитального характера, расходов на досрочное погашение муниципального долга, приоритетных направлений распределения бюджета принимаемых обязательств;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в случае наступления ситуации, предусмотренной в п.4.6 настоящего Порядка - предложения о сокращении действующих расходных обязательств.</w:t>
      </w:r>
    </w:p>
    <w:p w:rsidR="00A431C2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8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Разработанные варианты Основных показателей среднесрочного финансового плана с пояснительной запиской представляются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>Г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лаве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4.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9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Одобренный 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>Г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лавой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A431C2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вариант Основных показателей среднесрочного финансового плана: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lastRenderedPageBreak/>
        <w:t xml:space="preserve">- в части данных на очередной финансовый год используется в ходе разработки проекта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в части объема ресурсов для формирования бюджета принимаемых обязательств доводится до главных распорядителей бюджетных средств в порядке и по форме, установленной Методикой распределения бюджета принимаемых обязательств.</w:t>
      </w: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t>5. Разработка среднесрочного финансового плана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5.1. Среднесрочный финансовый план разрабатывается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основе: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одобренного варианта Основных показателей среднесрочного финансового плана;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предложений главных распорядителей бюджетных средств о расходовании средств бюджета принимаемых обязательств, включенных в соответствии с Методикой распределения бюджета принимаемых обязательств в перечень принимаемых обязательств;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правовых актов, принятых в связи с наступлением ситуации, предусмотренной в п.4.6 настоящего Порядка.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5.2. Среднесрочный финансовый включает: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основные параметры состояния местных финансов на предстоящий трехлетний период;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предельные бюджеты главных распорядителей бюджетных средств на предстоящий трехлетний период;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перечень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5.3. Основные параметры состояния местных финансов должны соответствовать одобренному варианту Основных показателей среднесрочного финансового плана.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Допустимые случаи отклонения и необходимые действия в таких случаях закреплены в п. 6.3 настоящего Порядка и подлежат применению при разработке среднесрочного финансового плана.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5.4. Предельные бюджеты главных распорядителей бюджетных средств на предстоящий трехлетний период приводятся в разрезе бюджета действующих обязательств и бюджета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Объемы бюджетов действующих обязательств главных распорядителей бюджетных средств определяются на основе реестра расходных обязательств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Объемы бюджетов принимаемых обязательств главных распорядителей бюджетных средств определяются по результатам отбора предложений, поступивших от главных распорядителей бюджетных средств, в соответствии с Методикой распределения бюджета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5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 Среднесрочный финансовый план сопровождается пояснительной запиской, которая должна: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характеризовать состояние, факторы и тенденции развития местных финансов в предстоящий трехлетний период;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описывать основные параметры состояния местных финансов;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lastRenderedPageBreak/>
        <w:t>- прояснять причины отклонения от показателей за совпадающие периоды, утвержденных в прошедшем году в среднесрочном финансовом плане, включать группировку причин на объективные и субъективные, а также анализ последствий отклонения от ранее утвержденных показателей;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обосновывать распределение бюджета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6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Среднесрочный финансовый план с пояснительной запиской представляется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г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лаве поселения.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7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 Среднесрочный финансовый план ежегодно корректируется с учетом показателей уточненного среднесрочного прогноза социально - экономического развития поселения, при этом плановый период сдвигается на один год вперед.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5.</w:t>
      </w:r>
      <w:r w:rsidR="00591FBD" w:rsidRPr="00402AE8">
        <w:rPr>
          <w:rFonts w:ascii="PT Astra Serif" w:eastAsia="Times New Roman" w:hAnsi="PT Astra Serif" w:cs="Times New Roman"/>
          <w:sz w:val="24"/>
          <w:szCs w:val="24"/>
        </w:rPr>
        <w:t>8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. Среднесрочный финансовый план направляется в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Совет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депутатов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вместе с проектом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591FBD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t>6. Применение среднесрочного финансового плана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6.1. Среднесрочный финансовый план: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используется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при формировании проекта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учитывается при осуществлении органами местного самоуправления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нормотворческой деятельности, влияющей на состояние показателей среднесрочного финансового плана.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6.2. Использование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а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дминистраци</w:t>
      </w:r>
      <w:r w:rsidR="00DD7A74" w:rsidRPr="00402AE8">
        <w:rPr>
          <w:rFonts w:ascii="PT Astra Serif" w:eastAsia="Times New Roman" w:hAnsi="PT Astra Serif" w:cs="Times New Roman"/>
          <w:sz w:val="24"/>
          <w:szCs w:val="24"/>
        </w:rPr>
        <w:t>ей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среднесрочного финансового плана при формировании проекта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591FBD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на очередной финансовый год включает в себя: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разработку доходной части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в соответствии с параметрами среднесрочного финансового плана в части доходов (с учетом того, что в решении о бюджете поселения должны также найти отражение поступления субвенций, передаваемых в бюджет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из бюджетов других уровней средств для осуществления органами местного самоуправления поселения переданных государственных полномочий, которые не учитываются при составлении среднесрочного финансового плана);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разработку расходной части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в соответствии с параметрами среднесрочного финансового плана в части расходов, включая бюджеты главных распорядителей бюджетных средств (с учетом того, что в решении о бюджете поселения должны также найти отражение поступления субвенций, передаваемых в бюджет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из бюджетов других уровней средств для осуществления органами местного самоуправления поселения отдельных государственных полномочий, которые не учитываются при составлении среднесрочного финансового плана);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lastRenderedPageBreak/>
        <w:t xml:space="preserve">- разработку в соответствии с параметрами среднесрочного финансового плана в части привлечения и погашения муниципальных заимствований и предоставления муниципальных гарантий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 и установление в решении о бюджете поселения предельных объемов обязательств по муниципальным гарантиям.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6.3. Отклонение от показателей среднесрочного финансового плана при разработке проекта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на очередной финансовый год допускается только в случаях: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изменения объемов финансовой помощи от бюджетов других уровней по сравнению с предусмотренными в среднесрочном финансовом плане объемами (при оценке изменений поступления из региональных фондов компенсаций в расчет не принимаются);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изменения значений показателей выбранного варианта сценарных условий.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В случае сокращения общей суммы расходов местного бюджета при разработке проекта бюджета поселения, его рассмотрении и утверждении по сравнению с объемом, предусмотренном в среднесрочном финансовом плане, первоочередному сокращению подлежат принимаемые обязательства в порядке, установленном в Методике распределения бюджета принимаемых обязательств. Сокращение действующих обязательств допускается только в случае недостаточности средств для их реализации даже после отказа от финансирования всех принимаемых обязательств и принятия исчерпывающих мер по привлечению средств из источников финансирования дефицита бюджета.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В случае превышения общей суммы расходов бюджета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объема, предусмотренного в среднесрочном финансовом плане, сумма превышения распределяется в порядке, установленном Методикой распределения бюджета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6.4. Учет показателей среднесрочного финансового плана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393AF7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при осуществлении органами местного самоуправления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нормотворческой деятельности предполагает: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принятие в установленные Графиком разработки среднесрочного финансового плана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сроки нормативных правовых актов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о принимаемых обязательствах, указанных в составе среднесрочного финансового плана перечне принимаемых обязательств;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введение новых действующих обязательств и/или увеличение объемов существующих действующих обязательств только при условии соблюдения параметров последнего среднесрочного финансового плана поселения в части объемов бюджета действующих обязательств и перечня принимаемых обязательств.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Проекты правовых актов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</w:t>
      </w:r>
      <w:r w:rsidR="003542BA" w:rsidRPr="00402AE8">
        <w:rPr>
          <w:rFonts w:ascii="PT Astra Serif" w:hAnsi="PT Astra Serif" w:cs="Times New Roman"/>
          <w:sz w:val="24"/>
          <w:szCs w:val="24"/>
        </w:rPr>
        <w:t>области,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принятие которых может повлиять на состояние показателей среднесрочного финансового плана, подлежат согласованию с финансовым сектором Администрации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AC2A24" w:rsidRPr="00402AE8" w:rsidRDefault="00AC2A24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AC2A24" w:rsidRPr="00402AE8" w:rsidRDefault="00AC2A24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5E2F3B" w:rsidRPr="00402AE8" w:rsidRDefault="005E2F3B" w:rsidP="00AC2A24">
      <w:pPr>
        <w:spacing w:after="166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>7. Мониторинг применения среднесрочного финансового плана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7.1. Финансовый сектор Администрации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="00BD4145"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осуществляет мониторинг применения среднесрочного финансового плана.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7.2. Мониторинг применения среднесрочного финансового плана осуществляется с целью выявления отклонений показателей разрабатываемого среднесрочного финансового плана от показателей последнего среднесрочного финансового плана по совпадающим периодам, установления причин отклонений и принятия мер для улучшения качества планирования.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7.3. Мониторинг применения среднесрочного финансового плана осуществляется на этапе разработки Основных показателей среднесрочного финансового плана на очередной трехлетний период и включает: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выявление отклонений разрабатываемых Основных показателей среднесрочного финансового плана от показателей последнего среднесрочного финансового плана за совпадающие периоды;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группировку причин отклонений на объективные и субъективные;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>- анализ последствий невыполнения показателей среднесрочного финансового плана;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- подготовку предложений о внесении изменений в правовые акты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, направленных на улучшение качества планирования.</w:t>
      </w:r>
    </w:p>
    <w:p w:rsidR="005E2F3B" w:rsidRPr="00402AE8" w:rsidRDefault="005E2F3B" w:rsidP="005E2F3B">
      <w:pPr>
        <w:spacing w:after="166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7.4. Результаты мониторинга применения среднесрочного финансового плана учитываются при одобрении Основных показателей среднесрочного финансового плана и подготовке проектов правовых актов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, регулирующих расходные обязательства </w:t>
      </w:r>
      <w:r w:rsidR="007E7229" w:rsidRPr="00402AE8">
        <w:rPr>
          <w:rFonts w:ascii="PT Astra Serif" w:hAnsi="PT Astra Serif" w:cs="Times New Roman"/>
          <w:sz w:val="24"/>
          <w:szCs w:val="24"/>
        </w:rPr>
        <w:t>Новомихайловского</w:t>
      </w:r>
      <w:r w:rsidR="00393AF7" w:rsidRPr="00402AE8">
        <w:rPr>
          <w:rFonts w:ascii="PT Astra Serif" w:hAnsi="PT Astra Serif" w:cs="Times New Roman"/>
          <w:sz w:val="24"/>
          <w:szCs w:val="24"/>
        </w:rPr>
        <w:t xml:space="preserve"> сельсовета Татарского района Новосибирской области</w:t>
      </w:r>
      <w:r w:rsidRPr="00402AE8">
        <w:rPr>
          <w:rFonts w:ascii="PT Astra Serif" w:eastAsia="Times New Roman" w:hAnsi="PT Astra Serif" w:cs="Times New Roman"/>
          <w:sz w:val="24"/>
          <w:szCs w:val="24"/>
        </w:rPr>
        <w:t>.</w:t>
      </w:r>
    </w:p>
    <w:p w:rsidR="005E2F3B" w:rsidRPr="00402AE8" w:rsidRDefault="008021E1" w:rsidP="005E2F3B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402AE8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7B6E0A" w:rsidRPr="00402AE8" w:rsidRDefault="007B6E0A">
      <w:pPr>
        <w:rPr>
          <w:rFonts w:ascii="PT Astra Serif" w:hAnsi="PT Astra Serif" w:cs="Times New Roman"/>
          <w:sz w:val="24"/>
          <w:szCs w:val="24"/>
        </w:rPr>
      </w:pPr>
    </w:p>
    <w:sectPr w:rsidR="007B6E0A" w:rsidRPr="00402AE8" w:rsidSect="00D74C2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C87" w:rsidRDefault="00364C87" w:rsidP="003542BA">
      <w:pPr>
        <w:spacing w:after="0" w:line="240" w:lineRule="auto"/>
      </w:pPr>
      <w:r>
        <w:separator/>
      </w:r>
    </w:p>
  </w:endnote>
  <w:endnote w:type="continuationSeparator" w:id="1">
    <w:p w:rsidR="00364C87" w:rsidRDefault="00364C87" w:rsidP="00354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C87" w:rsidRDefault="00364C87" w:rsidP="003542BA">
      <w:pPr>
        <w:spacing w:after="0" w:line="240" w:lineRule="auto"/>
      </w:pPr>
      <w:r>
        <w:separator/>
      </w:r>
    </w:p>
  </w:footnote>
  <w:footnote w:type="continuationSeparator" w:id="1">
    <w:p w:rsidR="00364C87" w:rsidRDefault="00364C87" w:rsidP="00354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2395"/>
      <w:docPartObj>
        <w:docPartGallery w:val="Page Numbers (Top of Page)"/>
        <w:docPartUnique/>
      </w:docPartObj>
    </w:sdtPr>
    <w:sdtContent>
      <w:p w:rsidR="003542BA" w:rsidRDefault="00F003DD">
        <w:pPr>
          <w:pStyle w:val="a6"/>
          <w:jc w:val="center"/>
        </w:pPr>
        <w:fldSimple w:instr=" PAGE   \* MERGEFORMAT ">
          <w:r w:rsidR="00402AE8">
            <w:rPr>
              <w:noProof/>
            </w:rPr>
            <w:t>9</w:t>
          </w:r>
        </w:fldSimple>
      </w:p>
    </w:sdtContent>
  </w:sdt>
  <w:p w:rsidR="003542BA" w:rsidRDefault="003542B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F3B"/>
    <w:rsid w:val="000072C5"/>
    <w:rsid w:val="001408DB"/>
    <w:rsid w:val="001D527B"/>
    <w:rsid w:val="002D0CBB"/>
    <w:rsid w:val="00333B6E"/>
    <w:rsid w:val="003542BA"/>
    <w:rsid w:val="00364C87"/>
    <w:rsid w:val="00377638"/>
    <w:rsid w:val="00393AF7"/>
    <w:rsid w:val="00402AE8"/>
    <w:rsid w:val="00591FBD"/>
    <w:rsid w:val="005B16C1"/>
    <w:rsid w:val="005D5EF3"/>
    <w:rsid w:val="005E2F3B"/>
    <w:rsid w:val="006C016E"/>
    <w:rsid w:val="006F178B"/>
    <w:rsid w:val="007076EF"/>
    <w:rsid w:val="00735801"/>
    <w:rsid w:val="007B6E0A"/>
    <w:rsid w:val="007C2C85"/>
    <w:rsid w:val="007C5E4E"/>
    <w:rsid w:val="007E7229"/>
    <w:rsid w:val="007F18A9"/>
    <w:rsid w:val="008021E1"/>
    <w:rsid w:val="00875A70"/>
    <w:rsid w:val="00892842"/>
    <w:rsid w:val="00A431C2"/>
    <w:rsid w:val="00AC2A24"/>
    <w:rsid w:val="00B75E86"/>
    <w:rsid w:val="00BB2AEA"/>
    <w:rsid w:val="00BC5DBF"/>
    <w:rsid w:val="00BD4145"/>
    <w:rsid w:val="00BF41D4"/>
    <w:rsid w:val="00C6500E"/>
    <w:rsid w:val="00CE5332"/>
    <w:rsid w:val="00D74C2D"/>
    <w:rsid w:val="00DD7A74"/>
    <w:rsid w:val="00F003DD"/>
    <w:rsid w:val="00F3481D"/>
    <w:rsid w:val="00F76EFF"/>
    <w:rsid w:val="00F83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2F3B"/>
    <w:rPr>
      <w:b/>
      <w:bCs/>
    </w:rPr>
  </w:style>
  <w:style w:type="paragraph" w:styleId="a5">
    <w:name w:val="No Spacing"/>
    <w:uiPriority w:val="1"/>
    <w:qFormat/>
    <w:rsid w:val="00A431C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5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42BA"/>
  </w:style>
  <w:style w:type="paragraph" w:styleId="a8">
    <w:name w:val="footer"/>
    <w:basedOn w:val="a"/>
    <w:link w:val="a9"/>
    <w:uiPriority w:val="99"/>
    <w:semiHidden/>
    <w:unhideWhenUsed/>
    <w:rsid w:val="00354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42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3390</Words>
  <Characters>19325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Новомихайлока</cp:lastModifiedBy>
  <cp:revision>19</cp:revision>
  <cp:lastPrinted>2020-10-05T04:57:00Z</cp:lastPrinted>
  <dcterms:created xsi:type="dcterms:W3CDTF">2020-06-19T07:48:00Z</dcterms:created>
  <dcterms:modified xsi:type="dcterms:W3CDTF">2020-10-05T04:59:00Z</dcterms:modified>
</cp:coreProperties>
</file>